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D604A" w14:textId="1C25559F" w:rsidR="00DD2C6A" w:rsidRDefault="00DD2C6A" w:rsidP="00642DBC">
      <w:pPr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C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Introducing the subject </w:t>
      </w:r>
      <w:r w:rsidR="00E13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</w:t>
      </w:r>
      <w:r w:rsidRPr="00DD2C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 Big History</w:t>
      </w:r>
      <w:r w:rsidR="00642D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a mask of theory over the face of nature</w:t>
      </w:r>
    </w:p>
    <w:p w14:paraId="5F5278F2" w14:textId="77777777" w:rsidR="00881894" w:rsidRPr="00DD2C6A" w:rsidRDefault="00881894" w:rsidP="00642DBC">
      <w:pPr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ED6991" w14:textId="11CD724E" w:rsidR="00DD2C6A" w:rsidRPr="00E13429" w:rsidRDefault="00570741" w:rsidP="00642DB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Big History </w:t>
      </w:r>
      <w:r w:rsidRPr="008E7AB9">
        <w:rPr>
          <w:rFonts w:ascii="Times New Roman" w:hAnsi="Times New Roman" w:cs="Times New Roman"/>
          <w:sz w:val="24"/>
          <w:szCs w:val="24"/>
        </w:rPr>
        <w:t xml:space="preserve">merges human history, evolutionary biology, cosmology and other historical sciences into one universal history. Big History is a “modern origin story” that </w:t>
      </w:r>
      <w:r w:rsidR="008E7AB9" w:rsidRPr="008E7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aspires to an overarching explication of the world – to a </w:t>
      </w:r>
      <w:r w:rsidR="00E1342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E7AB9" w:rsidRPr="008E7AB9">
        <w:rPr>
          <w:rFonts w:ascii="Times New Roman" w:hAnsi="Times New Roman" w:cs="Times New Roman"/>
          <w:color w:val="000000" w:themeColor="text1"/>
          <w:sz w:val="24"/>
          <w:szCs w:val="24"/>
        </w:rPr>
        <w:t>unified understanding of reality” – while failing to give a thorough account of the nature of subjectivity</w:t>
      </w:r>
      <w:r w:rsidR="00E134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E7AB9" w:rsidRPr="008E7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42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E7AB9" w:rsidRPr="008E7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are only told that subjectivity is “summoned by” or “bubbles up from” the brain (Christian 2018). </w:t>
      </w:r>
      <w:r w:rsidR="008F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propose </w:t>
      </w:r>
      <w:r w:rsidR="00DD2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instead </w:t>
      </w:r>
      <w:r w:rsidR="008F7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subjectivity </w:t>
      </w:r>
      <w:r w:rsidR="00AF2C8B">
        <w:rPr>
          <w:rFonts w:ascii="Times New Roman" w:hAnsi="Times New Roman" w:cs="Times New Roman"/>
          <w:color w:val="000000" w:themeColor="text1"/>
          <w:sz w:val="24"/>
          <w:szCs w:val="24"/>
        </w:rPr>
        <w:t>overlays the whole of history and science. History and science are always practiced by subjects who (1) cannot strip those parts of their</w:t>
      </w:r>
      <w:r w:rsidR="009D4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discipline’s</w:t>
      </w:r>
      <w:r w:rsidR="00AF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factual content that are contributed by the mind </w:t>
      </w:r>
      <w:r w:rsidR="00DD2C6A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AF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those that are contributed by the world, and (2) necessarily express that content in terms of narratives or theories that are subject</w:t>
      </w:r>
      <w:r w:rsidR="008A0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imbued</w:t>
      </w:r>
      <w:r w:rsidR="00AF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0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suggest that this notion of subject and world </w:t>
      </w:r>
      <w:r w:rsidR="009D4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entwined </w:t>
      </w:r>
      <w:r w:rsidR="008A0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9D4C5A">
        <w:rPr>
          <w:rFonts w:ascii="Times New Roman" w:hAnsi="Times New Roman" w:cs="Times New Roman"/>
          <w:color w:val="000000" w:themeColor="text1"/>
          <w:sz w:val="24"/>
          <w:szCs w:val="24"/>
        </w:rPr>
        <w:t>suitably</w:t>
      </w:r>
      <w:r w:rsidR="008A0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articulated by William Whewell and then by pragmatists </w:t>
      </w:r>
      <w:r w:rsidR="00DD2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tacitly </w:t>
      </w:r>
      <w:r w:rsidR="008A0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influenced by his work. </w:t>
      </w:r>
    </w:p>
    <w:p w14:paraId="14A0B3BA" w14:textId="40EA7AC9" w:rsidR="00DD2C6A" w:rsidRPr="00DD2C6A" w:rsidRDefault="008E7AB9" w:rsidP="00642DBC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AB9">
        <w:rPr>
          <w:rFonts w:ascii="Times New Roman" w:hAnsi="Times New Roman" w:cs="Times New Roman"/>
          <w:color w:val="000000" w:themeColor="text1"/>
          <w:sz w:val="24"/>
          <w:szCs w:val="24"/>
        </w:rPr>
        <w:t>Like Kant before him, Whewell develops a philosophy of science that aims for a middle ground between realism (</w:t>
      </w:r>
      <w:r w:rsidRPr="008E7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priori</w:t>
      </w:r>
      <w:r w:rsidRPr="008E7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rationalism) and anti-realism (</w:t>
      </w:r>
      <w:r w:rsidRPr="008E7A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posteriori </w:t>
      </w:r>
      <w:r w:rsidRPr="008E7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empiricism). </w:t>
      </w:r>
      <w:r w:rsidR="008A03A7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8A03A7" w:rsidRPr="00CD41F6">
        <w:rPr>
          <w:rFonts w:ascii="Times New Roman" w:hAnsi="Times New Roman"/>
          <w:color w:val="000000" w:themeColor="text1"/>
          <w:sz w:val="24"/>
          <w:szCs w:val="24"/>
        </w:rPr>
        <w:t xml:space="preserve">here is no clear-cut separation between </w:t>
      </w:r>
      <w:r w:rsidR="008A03A7">
        <w:rPr>
          <w:rFonts w:ascii="Times New Roman" w:hAnsi="Times New Roman"/>
          <w:color w:val="000000" w:themeColor="text1"/>
          <w:sz w:val="24"/>
          <w:szCs w:val="24"/>
        </w:rPr>
        <w:t>subject and object, between theory and fact, between mind and world</w:t>
      </w:r>
      <w:r w:rsidR="008A03A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A03A7">
        <w:rPr>
          <w:rFonts w:ascii="Times New Roman" w:hAnsi="Times New Roman"/>
          <w:color w:val="000000" w:themeColor="text1"/>
          <w:sz w:val="24"/>
          <w:szCs w:val="24"/>
        </w:rPr>
        <w:t xml:space="preserve">Scientific inquiry oscillates between passive reflection and active participation </w:t>
      </w:r>
      <w:r w:rsidR="009D4C5A">
        <w:rPr>
          <w:rFonts w:ascii="Times New Roman" w:hAnsi="Times New Roman"/>
          <w:color w:val="000000" w:themeColor="text1"/>
          <w:sz w:val="24"/>
          <w:szCs w:val="24"/>
        </w:rPr>
        <w:t>through</w:t>
      </w:r>
      <w:r w:rsidR="008A03A7">
        <w:rPr>
          <w:rFonts w:ascii="Times New Roman" w:hAnsi="Times New Roman"/>
          <w:color w:val="000000" w:themeColor="text1"/>
          <w:sz w:val="24"/>
          <w:szCs w:val="24"/>
        </w:rPr>
        <w:t xml:space="preserve"> time</w:t>
      </w:r>
      <w:r w:rsidR="009D4C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D4C5A">
        <w:rPr>
          <w:rFonts w:ascii="Times New Roman" w:hAnsi="Times New Roman"/>
          <w:color w:val="000000"/>
          <w:sz w:val="24"/>
          <w:szCs w:val="24"/>
        </w:rPr>
        <w:t>B</w:t>
      </w:r>
      <w:r w:rsidR="00DD2C6A" w:rsidRPr="007D3E0D">
        <w:rPr>
          <w:rFonts w:ascii="Times New Roman" w:hAnsi="Times New Roman"/>
          <w:color w:val="000000"/>
          <w:sz w:val="24"/>
          <w:szCs w:val="24"/>
        </w:rPr>
        <w:t xml:space="preserve">oth </w:t>
      </w:r>
      <w:r w:rsidR="009D4C5A">
        <w:rPr>
          <w:rFonts w:ascii="Times New Roman" w:hAnsi="Times New Roman"/>
          <w:color w:val="000000"/>
          <w:sz w:val="24"/>
          <w:szCs w:val="24"/>
        </w:rPr>
        <w:t>theory</w:t>
      </w:r>
      <w:r w:rsidR="00DD2C6A" w:rsidRPr="007D3E0D">
        <w:rPr>
          <w:rFonts w:ascii="Times New Roman" w:hAnsi="Times New Roman"/>
          <w:color w:val="000000"/>
          <w:sz w:val="24"/>
          <w:szCs w:val="24"/>
        </w:rPr>
        <w:t xml:space="preserve"> and experiment play an inseparable role in generating scientific knowledge</w:t>
      </w:r>
      <w:r w:rsidR="009D4C5A">
        <w:rPr>
          <w:rFonts w:ascii="Times New Roman" w:hAnsi="Times New Roman"/>
          <w:color w:val="000000"/>
          <w:sz w:val="24"/>
          <w:szCs w:val="24"/>
        </w:rPr>
        <w:t xml:space="preserve"> and therefore truths</w:t>
      </w:r>
      <w:r w:rsidR="00DD2C6A" w:rsidRPr="007D3E0D">
        <w:rPr>
          <w:rFonts w:ascii="Times New Roman" w:hAnsi="Times New Roman"/>
          <w:color w:val="000000"/>
          <w:sz w:val="24"/>
          <w:szCs w:val="24"/>
        </w:rPr>
        <w:t xml:space="preserve">. Every inquiring act knits </w:t>
      </w:r>
      <w:r w:rsidR="009D4C5A">
        <w:rPr>
          <w:rFonts w:ascii="Times New Roman" w:hAnsi="Times New Roman"/>
          <w:color w:val="000000"/>
          <w:sz w:val="24"/>
          <w:szCs w:val="24"/>
        </w:rPr>
        <w:t xml:space="preserve">subject and world </w:t>
      </w:r>
      <w:r w:rsidR="00DD2C6A" w:rsidRPr="007D3E0D">
        <w:rPr>
          <w:rFonts w:ascii="Times New Roman" w:hAnsi="Times New Roman"/>
          <w:color w:val="000000"/>
          <w:sz w:val="24"/>
          <w:szCs w:val="24"/>
        </w:rPr>
        <w:t>together</w:t>
      </w:r>
      <w:r w:rsidR="009D4C5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DD2C6A" w:rsidRPr="007D3E0D">
        <w:rPr>
          <w:rFonts w:ascii="Times New Roman" w:hAnsi="Times New Roman"/>
          <w:color w:val="000000"/>
          <w:sz w:val="24"/>
          <w:szCs w:val="24"/>
        </w:rPr>
        <w:t>“there is a mask of theory over the whole face of nature” (</w:t>
      </w:r>
      <w:r w:rsidR="00DD2C6A" w:rsidRPr="007D3E0D">
        <w:rPr>
          <w:rFonts w:ascii="Times New Roman" w:hAnsi="Times New Roman"/>
          <w:color w:val="000000" w:themeColor="text1"/>
          <w:sz w:val="24"/>
          <w:szCs w:val="24"/>
        </w:rPr>
        <w:t>Whewell 1847, I: 24</w:t>
      </w:r>
      <w:r w:rsidR="00DD2C6A" w:rsidRPr="007D3E0D">
        <w:rPr>
          <w:rFonts w:ascii="Times New Roman" w:hAnsi="Times New Roman"/>
          <w:color w:val="000000"/>
          <w:sz w:val="24"/>
          <w:szCs w:val="24"/>
        </w:rPr>
        <w:t>).</w:t>
      </w:r>
    </w:p>
    <w:p w14:paraId="6C314618" w14:textId="239A1232" w:rsidR="00DD2C6A" w:rsidRPr="00642DBC" w:rsidRDefault="008D2D0B" w:rsidP="00642DB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 experience pragmatists like Cheryl Misak</w:t>
      </w:r>
      <w:r w:rsidR="00642D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t</w:t>
      </w:r>
      <w:r w:rsidRPr="008D2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he mind does not represent, mirror or copy reality, but neither is reality simply a product of language games. Instead, like Kant, “[w]e impose human categories on experience” and, like Whewell: “[s]ubject and object merge in experience” (Misak 2014: 29). We cannot pry apart our interpretation from the interpreted. We are “interpretative engines” coordinating and merging theory with data in generating knowledge and truth. </w:t>
      </w:r>
    </w:p>
    <w:p w14:paraId="554FB0CC" w14:textId="0D664F20" w:rsidR="008D2D0B" w:rsidRDefault="008D2D0B" w:rsidP="00642DBC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 scientific terms, the scientist synthesises theory and </w:t>
      </w:r>
      <w:r w:rsidR="00642DBC">
        <w:rPr>
          <w:rFonts w:ascii="Times New Roman" w:hAnsi="Times New Roman"/>
          <w:color w:val="000000"/>
          <w:sz w:val="24"/>
          <w:szCs w:val="24"/>
        </w:rPr>
        <w:t>data</w:t>
      </w:r>
      <w:r>
        <w:rPr>
          <w:rFonts w:ascii="Times New Roman" w:hAnsi="Times New Roman"/>
          <w:color w:val="000000"/>
          <w:sz w:val="24"/>
          <w:szCs w:val="24"/>
        </w:rPr>
        <w:t xml:space="preserve"> by following the empirical method. </w:t>
      </w:r>
      <w:r w:rsidR="009D4C5A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ruth</w:t>
      </w:r>
      <w:r w:rsidR="009D4C5A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are revealed when theory and experiment </w:t>
      </w:r>
      <w:r w:rsidR="00642DBC">
        <w:rPr>
          <w:rFonts w:ascii="Times New Roman" w:hAnsi="Times New Roman"/>
          <w:color w:val="000000"/>
          <w:sz w:val="24"/>
          <w:szCs w:val="24"/>
        </w:rPr>
        <w:t>synchronise</w:t>
      </w:r>
      <w:r>
        <w:rPr>
          <w:rFonts w:ascii="Times New Roman" w:hAnsi="Times New Roman"/>
          <w:color w:val="000000"/>
          <w:sz w:val="24"/>
          <w:szCs w:val="24"/>
        </w:rPr>
        <w:t xml:space="preserve"> harmoniously</w:t>
      </w:r>
      <w:r w:rsidR="009D4C5A">
        <w:rPr>
          <w:rFonts w:ascii="Times New Roman" w:hAnsi="Times New Roman"/>
          <w:color w:val="000000"/>
          <w:sz w:val="24"/>
          <w:szCs w:val="24"/>
        </w:rPr>
        <w:t>,</w:t>
      </w:r>
      <w:r w:rsidR="009D4C5A" w:rsidRPr="009D4C5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D4C5A" w:rsidRPr="007D3E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i.e. </w:t>
      </w:r>
      <w:r w:rsidR="009D4C5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when </w:t>
      </w:r>
      <w:r w:rsidR="009D4C5A" w:rsidRPr="007D3E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predictively successful</w:t>
      </w:r>
      <w:r w:rsidR="009D4C5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642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7D3E0D"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z w:val="24"/>
          <w:szCs w:val="24"/>
        </w:rPr>
        <w:t>can</w:t>
      </w:r>
      <w:r w:rsidRPr="007D3E0D">
        <w:rPr>
          <w:rFonts w:ascii="Times New Roman" w:hAnsi="Times New Roman"/>
          <w:color w:val="000000"/>
          <w:sz w:val="24"/>
          <w:szCs w:val="24"/>
        </w:rPr>
        <w:t xml:space="preserve"> think of the co-evolution of subjective theory with objective </w:t>
      </w:r>
      <w:r w:rsidR="009D4C5A">
        <w:rPr>
          <w:rFonts w:ascii="Times New Roman" w:hAnsi="Times New Roman"/>
          <w:color w:val="000000"/>
          <w:sz w:val="24"/>
          <w:szCs w:val="24"/>
        </w:rPr>
        <w:t>experiment</w:t>
      </w:r>
      <w:r w:rsidRPr="007D3E0D">
        <w:rPr>
          <w:rFonts w:ascii="Times New Roman" w:hAnsi="Times New Roman"/>
          <w:color w:val="000000"/>
          <w:sz w:val="24"/>
          <w:szCs w:val="24"/>
        </w:rPr>
        <w:t xml:space="preserve"> as constituting the ongoing, albeit fallibilistic, progression of </w:t>
      </w:r>
      <w:r w:rsidR="00DD2C6A">
        <w:rPr>
          <w:rFonts w:ascii="Times New Roman" w:hAnsi="Times New Roman"/>
          <w:color w:val="000000"/>
          <w:sz w:val="24"/>
          <w:szCs w:val="24"/>
        </w:rPr>
        <w:t xml:space="preserve">science. </w:t>
      </w:r>
      <w:r w:rsidR="00DD2C6A" w:rsidRPr="007D3E0D">
        <w:rPr>
          <w:rFonts w:ascii="Times New Roman" w:hAnsi="Times New Roman"/>
          <w:color w:val="000000"/>
          <w:sz w:val="24"/>
          <w:szCs w:val="24"/>
        </w:rPr>
        <w:t>Subject and object coevolve as a function of our best science in action.</w:t>
      </w:r>
      <w:r w:rsidR="00642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DB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The same goes for history and therefore Big History: narrative and fact co-evolve in generating historical truths. We cannot </w:t>
      </w:r>
      <w:r w:rsidR="00642DB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separate the narrative subject from the objective facts as Big History purports to do. Instead, the two intimately entwined in producing truths about the past.</w:t>
      </w:r>
    </w:p>
    <w:p w14:paraId="28F62477" w14:textId="77777777" w:rsidR="009D4C5A" w:rsidRPr="009D4C5A" w:rsidRDefault="009D4C5A" w:rsidP="00642DBC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5A19B5" w14:textId="34A2A44F" w:rsidR="008E7AB9" w:rsidRPr="00DD2C6A" w:rsidRDefault="008E7AB9" w:rsidP="00642DB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C6A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2AC3F7A6" w14:textId="3B006FD3" w:rsidR="008E7AB9" w:rsidRPr="008E7AB9" w:rsidRDefault="008E7AB9" w:rsidP="00642DB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ZA"/>
        </w:rPr>
      </w:pPr>
      <w:r w:rsidRPr="008E7A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ZA"/>
        </w:rPr>
        <w:t xml:space="preserve">Christian, D. (2018). </w:t>
      </w:r>
      <w:r w:rsidRPr="008E7A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en-ZA"/>
        </w:rPr>
        <w:t>Origin story: A big history of everything</w:t>
      </w:r>
      <w:r w:rsidRPr="008E7A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ZA"/>
        </w:rPr>
        <w:t>. Hachette UK.</w:t>
      </w:r>
    </w:p>
    <w:p w14:paraId="327A72C3" w14:textId="77777777" w:rsidR="008D2D0B" w:rsidRPr="008D2D0B" w:rsidRDefault="008D2D0B" w:rsidP="00642DBC">
      <w:pPr>
        <w:autoSpaceDE w:val="0"/>
        <w:autoSpaceDN w:val="0"/>
        <w:adjustRightInd w:val="0"/>
        <w:spacing w:after="120" w:line="360" w:lineRule="auto"/>
        <w:ind w:left="624" w:hanging="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</w:pPr>
      <w:r w:rsidRPr="008D2D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ZA"/>
        </w:rPr>
        <w:t>Misak, C. J. (2014). “</w:t>
      </w:r>
      <w:r w:rsidRPr="008D2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Language </w:t>
      </w:r>
      <w:r w:rsidRPr="008D2D0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ZA"/>
        </w:rPr>
        <w:t>and</w:t>
      </w:r>
      <w:r w:rsidRPr="008D2D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ZA"/>
        </w:rPr>
        <w:t xml:space="preserve"> </w:t>
      </w:r>
      <w:r w:rsidRPr="008D2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 xml:space="preserve">experience for pragmatism.” </w:t>
      </w:r>
      <w:r w:rsidRPr="008D2D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ZA"/>
        </w:rPr>
        <w:t>European Journal of Pragmatism and America</w:t>
      </w:r>
      <w:bookmarkStart w:id="0" w:name="_GoBack"/>
      <w:bookmarkEnd w:id="0"/>
      <w:r w:rsidRPr="008D2D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ZA"/>
        </w:rPr>
        <w:t xml:space="preserve">n Philosophy </w:t>
      </w:r>
      <w:r w:rsidRPr="008D2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ZA"/>
        </w:rPr>
        <w:t>[Online], URL: http://journals.openedition.org/ejpap/295; DOI : 10.4000/ejpap.295.</w:t>
      </w:r>
    </w:p>
    <w:p w14:paraId="1E5E6A62" w14:textId="248D6444" w:rsidR="008E7AB9" w:rsidRPr="00DD2C6A" w:rsidRDefault="00DD2C6A" w:rsidP="00642DBC">
      <w:pPr>
        <w:spacing w:after="120" w:line="360" w:lineRule="auto"/>
        <w:ind w:left="45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C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Whewell, W. (1847). </w:t>
      </w:r>
      <w:r w:rsidRPr="00DD2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philosophy of the inductive sciences, founded upon their history</w:t>
      </w:r>
      <w:r w:rsidRPr="00DD2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ZA"/>
        </w:rPr>
        <w:t>, 2nd edition, 2 vols</w:t>
      </w:r>
      <w:r w:rsidRPr="00DD2C6A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. London: John W. Parker.</w:t>
      </w:r>
    </w:p>
    <w:sectPr w:rsidR="008E7AB9" w:rsidRPr="00DD2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719EC" w14:textId="77777777" w:rsidR="009E6140" w:rsidRDefault="009E6140" w:rsidP="00DD2C6A">
      <w:pPr>
        <w:spacing w:after="0" w:line="240" w:lineRule="auto"/>
      </w:pPr>
      <w:r>
        <w:separator/>
      </w:r>
    </w:p>
  </w:endnote>
  <w:endnote w:type="continuationSeparator" w:id="0">
    <w:p w14:paraId="06DD80A1" w14:textId="77777777" w:rsidR="009E6140" w:rsidRDefault="009E6140" w:rsidP="00D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B3BEA" w14:textId="77777777" w:rsidR="009E6140" w:rsidRDefault="009E6140" w:rsidP="00DD2C6A">
      <w:pPr>
        <w:spacing w:after="0" w:line="240" w:lineRule="auto"/>
      </w:pPr>
      <w:r>
        <w:separator/>
      </w:r>
    </w:p>
  </w:footnote>
  <w:footnote w:type="continuationSeparator" w:id="0">
    <w:p w14:paraId="7CE046EB" w14:textId="77777777" w:rsidR="009E6140" w:rsidRDefault="009E6140" w:rsidP="00DD2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2C"/>
    <w:rsid w:val="001C0B31"/>
    <w:rsid w:val="00460EB5"/>
    <w:rsid w:val="00570741"/>
    <w:rsid w:val="00642DBC"/>
    <w:rsid w:val="006F43AA"/>
    <w:rsid w:val="00881894"/>
    <w:rsid w:val="008A03A7"/>
    <w:rsid w:val="008D2D0B"/>
    <w:rsid w:val="008E7AB9"/>
    <w:rsid w:val="008F7438"/>
    <w:rsid w:val="009459D3"/>
    <w:rsid w:val="009D4C5A"/>
    <w:rsid w:val="009E6140"/>
    <w:rsid w:val="00AF2C8B"/>
    <w:rsid w:val="00C8382C"/>
    <w:rsid w:val="00DD2C6A"/>
    <w:rsid w:val="00DE1C1F"/>
    <w:rsid w:val="00E1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A7AB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D2C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C6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D2C6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9D3"/>
  </w:style>
  <w:style w:type="paragraph" w:styleId="Footer">
    <w:name w:val="footer"/>
    <w:basedOn w:val="Normal"/>
    <w:link w:val="FooterChar"/>
    <w:uiPriority w:val="99"/>
    <w:unhideWhenUsed/>
    <w:rsid w:val="0094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2021-04-27T16:28:00Z</dcterms:created>
  <dcterms:modified xsi:type="dcterms:W3CDTF">2021-04-27T16:28:00Z</dcterms:modified>
</cp:coreProperties>
</file>